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208BCB"/>
          <w:sz w:val="20"/>
          <w:szCs w:val="20"/>
        </w:rPr>
        <w:t xml:space="preserve">4iT Support Pty Ltd</w:t>
      </w:r>
    </w:p>
    <w:p>
      <w:pPr>
        <w:spacing w:after="100"/>
      </w:pPr>
      <w:r>
        <w:rPr>
          <w:rFonts w:ascii="Calibri" w:cs="Calibri" w:eastAsia="Calibri" w:hAnsi="Calibri"/>
          <w:b/>
          <w:bCs/>
          <w:color w:val="1A1A1A"/>
          <w:sz w:val="40"/>
          <w:szCs w:val="40"/>
        </w:rPr>
        <w:t xml:space="preserve">Data Retention and Destruction Policy Template</w:t>
      </w:r>
    </w:p>
    <w:p>
      <w:pPr>
        <w:spacing w:after="60"/>
      </w:pPr>
      <w:r>
        <w:rPr>
          <w:rFonts w:ascii="Calibri" w:cs="Calibri" w:eastAsia="Calibri" w:hAnsi="Calibri"/>
          <w:color w:val="595959"/>
          <w:sz w:val="22"/>
          <w:szCs w:val="22"/>
        </w:rPr>
        <w:t xml:space="preserve">Free template for Australian small and medium businesses</w:t>
      </w:r>
    </w:p>
    <w:p>
      <w:pPr>
        <w:pBdr>
          <w:bottom w:val="single" w:color="208BCB" w:sz="8" w:space="4"/>
        </w:pBdr>
        <w:spacing w:after="160" w:before="80"/>
      </w:pPr>
      <w:r>
        <w:rPr>
          <w:sz w:val="2"/>
          <w:szCs w:val="2"/>
        </w:rPr>
        <w:t xml:space="preserve"/>
      </w:r>
    </w:p>
    <w:p>
      <w:pPr>
        <w:pStyle w:val="Heading2"/>
        <w:spacing w:after="100" w:before="220"/>
      </w:pPr>
      <w:r>
        <w:rPr>
          <w:rFonts w:ascii="Calibri" w:cs="Calibri" w:eastAsia="Calibri" w:hAnsi="Calibri"/>
          <w:b/>
          <w:bCs/>
          <w:color w:val="95C840"/>
          <w:sz w:val="24"/>
          <w:szCs w:val="24"/>
        </w:rPr>
        <w:t xml:space="preserve">What this is</w:t>
      </w:r>
    </w:p>
    <w:p>
      <w:pPr>
        <w:spacing w:after="120"/>
      </w:pPr>
      <w:r>
        <w:rPr>
          <w:rFonts w:ascii="Calibri" w:cs="Calibri" w:eastAsia="Calibri" w:hAnsi="Calibri"/>
          <w:b w:val="false"/>
          <w:bCs w:val="false"/>
          <w:i w:val="false"/>
          <w:iCs w:val="false"/>
          <w:color w:val="000000"/>
          <w:sz w:val="21"/>
          <w:szCs w:val="21"/>
        </w:rPr>
        <w:t xml:space="preserve">A policy that sets how long your business keeps each type of record, how records are securely destroyed, and who is responsible. It includes a retention schedule with the common Australian statutory periods already filled in.</w:t>
      </w:r>
    </w:p>
    <w:p>
      <w:pPr>
        <w:pStyle w:val="Heading2"/>
        <w:spacing w:after="100" w:before="220"/>
      </w:pPr>
      <w:r>
        <w:rPr>
          <w:rFonts w:ascii="Calibri" w:cs="Calibri" w:eastAsia="Calibri" w:hAnsi="Calibri"/>
          <w:b/>
          <w:bCs/>
          <w:color w:val="95C840"/>
          <w:sz w:val="24"/>
          <w:szCs w:val="24"/>
        </w:rPr>
        <w:t xml:space="preserve">How to use it</w:t>
      </w:r>
    </w:p>
    <w:p>
      <w:pPr>
        <w:pStyle w:val="ListParagraph"/>
        <w:numPr>
          <w:ilvl w:val="0"/>
          <w:numId w:val="2"/>
        </w:numPr>
        <w:spacing w:after="70"/>
      </w:pPr>
      <w:r>
        <w:rPr>
          <w:rFonts w:ascii="Calibri" w:cs="Calibri" w:eastAsia="Calibri" w:hAnsi="Calibri"/>
          <w:sz w:val="21"/>
          <w:szCs w:val="21"/>
        </w:rPr>
        <w:t xml:space="preserve">Read it through before you change anything. A policy you have not read is not a policy.</w:t>
      </w:r>
    </w:p>
    <w:p>
      <w:pPr>
        <w:pStyle w:val="ListParagraph"/>
        <w:numPr>
          <w:ilvl w:val="0"/>
          <w:numId w:val="2"/>
        </w:numPr>
        <w:spacing w:after="70"/>
      </w:pPr>
      <w:r>
        <w:rPr>
          <w:rFonts w:ascii="Calibri" w:cs="Calibri" w:eastAsia="Calibri" w:hAnsi="Calibri"/>
          <w:sz w:val="21"/>
          <w:szCs w:val="21"/>
        </w:rPr>
        <w:t xml:space="preserve">Replace every item in square brackets. The table below lists all of them.</w:t>
      </w:r>
    </w:p>
    <w:p>
      <w:pPr>
        <w:pStyle w:val="ListParagraph"/>
        <w:numPr>
          <w:ilvl w:val="0"/>
          <w:numId w:val="2"/>
        </w:numPr>
        <w:spacing w:after="70"/>
      </w:pPr>
      <w:r>
        <w:rPr>
          <w:rFonts w:ascii="Calibri" w:cs="Calibri" w:eastAsia="Calibri" w:hAnsi="Calibri"/>
          <w:sz w:val="21"/>
          <w:szCs w:val="21"/>
        </w:rPr>
        <w:t xml:space="preserve">Delete anything that does not describe your business. A shorter policy that is true beats a longer one that is not.</w:t>
      </w:r>
    </w:p>
    <w:p>
      <w:pPr>
        <w:pStyle w:val="ListParagraph"/>
        <w:numPr>
          <w:ilvl w:val="0"/>
          <w:numId w:val="2"/>
        </w:numPr>
        <w:spacing w:after="70"/>
      </w:pPr>
      <w:r>
        <w:rPr>
          <w:rFonts w:ascii="Calibri" w:cs="Calibri" w:eastAsia="Calibri" w:hAnsi="Calibri"/>
          <w:sz w:val="21"/>
          <w:szCs w:val="21"/>
        </w:rPr>
        <w:t xml:space="preserve">Delete this first page once you are done, so the document reads as your own.</w:t>
      </w:r>
    </w:p>
    <w:p>
      <w:pPr>
        <w:pStyle w:val="ListParagraph"/>
        <w:numPr>
          <w:ilvl w:val="0"/>
          <w:numId w:val="2"/>
        </w:numPr>
        <w:spacing w:after="70"/>
      </w:pPr>
      <w:r>
        <w:rPr>
          <w:rFonts w:ascii="Calibri" w:cs="Calibri" w:eastAsia="Calibri" w:hAnsi="Calibri"/>
          <w:sz w:val="21"/>
          <w:szCs w:val="21"/>
        </w:rPr>
        <w:t xml:space="preserve">Have someone sign it off, record the date, and set a calendar reminder to review it every 12 months.</w:t>
      </w:r>
    </w:p>
    <w:p>
      <w:pPr>
        <w:pStyle w:val="Heading2"/>
        <w:spacing w:after="100" w:before="220"/>
      </w:pPr>
      <w:r>
        <w:rPr>
          <w:rFonts w:ascii="Calibri" w:cs="Calibri" w:eastAsia="Calibri" w:hAnsi="Calibri"/>
          <w:b/>
          <w:bCs/>
          <w:color w:val="95C840"/>
          <w:sz w:val="24"/>
          <w:szCs w:val="24"/>
        </w:rPr>
        <w:t xml:space="preserve">Before you start</w:t>
      </w:r>
    </w:p>
    <w:p>
      <w:pPr>
        <w:spacing w:after="120"/>
      </w:pPr>
      <w:r>
        <w:rPr>
          <w:rFonts w:ascii="Calibri" w:cs="Calibri" w:eastAsia="Calibri" w:hAnsi="Calibri"/>
          <w:b w:val="false"/>
          <w:bCs w:val="false"/>
          <w:i w:val="false"/>
          <w:iCs w:val="false"/>
          <w:color w:val="000000"/>
          <w:sz w:val="21"/>
          <w:szCs w:val="21"/>
        </w:rPr>
        <w:t xml:space="preserve">This is the one most Australian small businesses do not have, and it is the one with the fastest payoff. Data you have properly destroyed cannot be stolen, and it does not count when an insurer asks how many personal information records you hold.</w:t>
      </w:r>
    </w:p>
    <w:p>
      <w:pPr>
        <w:spacing w:after="120"/>
      </w:pPr>
      <w:r>
        <w:rPr>
          <w:rFonts w:ascii="Calibri" w:cs="Calibri" w:eastAsia="Calibri" w:hAnsi="Calibri"/>
          <w:b w:val="false"/>
          <w:bCs w:val="false"/>
          <w:i w:val="false"/>
          <w:iCs w:val="false"/>
          <w:color w:val="000000"/>
          <w:sz w:val="21"/>
          <w:szCs w:val="21"/>
        </w:rPr>
        <w:t xml:space="preserve">The retention periods in the schedule are a starting point drawn from common Australian obligations. Verify them against your own circumstances, because industry regulation, funding agreements and customer contracts can all require longer.</w:t>
      </w:r>
    </w:p>
    <w:p>
      <w:pPr>
        <w:spacing w:after="120"/>
      </w:pPr>
      <w:r>
        <w:rPr>
          <w:rFonts w:ascii="Calibri" w:cs="Calibri" w:eastAsia="Calibri" w:hAnsi="Calibri"/>
          <w:b w:val="false"/>
          <w:bCs w:val="false"/>
          <w:i w:val="false"/>
          <w:iCs w:val="false"/>
          <w:color w:val="000000"/>
          <w:sz w:val="21"/>
          <w:szCs w:val="21"/>
        </w:rPr>
        <w:t xml:space="preserve">Fill in every [PERIOD] in the schedule. A schedule with blanks in it is not a policy, and those rows are the ones where you get to choose rather than the law choosing for you.</w:t>
      </w:r>
    </w:p>
    <w:p>
      <w:pPr>
        <w:spacing w:after="120"/>
      </w:pPr>
      <w:r>
        <w:rPr>
          <w:rFonts w:ascii="Calibri" w:cs="Calibri" w:eastAsia="Calibri" w:hAnsi="Calibri"/>
          <w:b w:val="false"/>
          <w:bCs w:val="false"/>
          <w:i w:val="false"/>
          <w:iCs w:val="false"/>
          <w:color w:val="000000"/>
          <w:sz w:val="21"/>
          <w:szCs w:val="21"/>
        </w:rPr>
        <w:t xml:space="preserve">Set the retention settings in your systems to match the policy where the platform allows it. A policy the platform enforces survives staff turnover; one that relies on someone remembering does not.</w:t>
      </w:r>
    </w:p>
    <w:p>
      <w:pPr>
        <w:pStyle w:val="Heading2"/>
        <w:spacing w:after="100" w:before="220"/>
      </w:pPr>
      <w:r>
        <w:rPr>
          <w:rFonts w:ascii="Calibri" w:cs="Calibri" w:eastAsia="Calibri" w:hAnsi="Calibri"/>
          <w:b/>
          <w:bCs/>
          <w:color w:val="95C840"/>
          <w:sz w:val="24"/>
          <w:szCs w:val="24"/>
        </w:rPr>
        <w:t xml:space="preserve">Placeholders to replace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5900"/>
      </w:tblGrid>
      <w:tr>
        <w:trPr>
          <w:tblHeader/>
        </w:trPr>
        <w:tc>
          <w:tcPr>
            <w:tcW w:type="dxa" w:w="3200"/>
            <w:shd w:fill="208BCB" w:color="auto" w:val="clear"/>
            <w:tcMar>
              <w:top w:type="dxa" w:w="60"/>
              <w:left w:type="dxa" w:w="100"/>
              <w:bottom w:type="dxa" w:w="60"/>
              <w:right w:type="dxa" w:w="100"/>
            </w:tcMar>
          </w:tcPr>
          <w:p>
            <w:r>
              <w:rPr>
                <w:rFonts w:ascii="Calibri" w:cs="Calibri" w:eastAsia="Calibri" w:hAnsi="Calibri"/>
                <w:b/>
                <w:bCs/>
                <w:color w:val="FFFFFF"/>
                <w:sz w:val="19"/>
                <w:szCs w:val="19"/>
              </w:rPr>
              <w:t xml:space="preserve">Replace this</w:t>
            </w:r>
          </w:p>
        </w:tc>
        <w:tc>
          <w:tcPr>
            <w:tcW w:type="dxa" w:w="5900"/>
            <w:shd w:fill="208BCB" w:color="auto" w:val="clear"/>
            <w:tcMar>
              <w:top w:type="dxa" w:w="60"/>
              <w:left w:type="dxa" w:w="100"/>
              <w:bottom w:type="dxa" w:w="60"/>
              <w:right w:type="dxa" w:w="100"/>
            </w:tcMar>
          </w:tcPr>
          <w:p>
            <w:r>
              <w:rPr>
                <w:rFonts w:ascii="Calibri" w:cs="Calibri" w:eastAsia="Calibri" w:hAnsi="Calibri"/>
                <w:b/>
                <w:bCs/>
                <w:color w:val="FFFFFF"/>
                <w:sz w:val="19"/>
                <w:szCs w:val="19"/>
              </w:rPr>
              <w:t xml:space="preserve">With</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[ORGANISATION NAME]</w:t>
            </w:r>
          </w:p>
        </w:tc>
        <w:tc>
          <w:tcPr>
            <w:tcW w:type="dxa" w:w="5900"/>
            <w:tcMar>
              <w:top w:type="dxa" w:w="60"/>
              <w:left w:type="dxa" w:w="100"/>
              <w:bottom w:type="dxa" w:w="60"/>
              <w:right w:type="dxa" w:w="100"/>
            </w:tcMar>
          </w:tcPr>
          <w:p>
            <w:r>
              <w:rPr>
                <w:rFonts w:ascii="Calibri" w:cs="Calibri" w:eastAsia="Calibri" w:hAnsi="Calibri"/>
                <w:sz w:val="19"/>
                <w:szCs w:val="19"/>
              </w:rPr>
              <w:t xml:space="preserve">Your legal entity name, as registered</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[ABN]</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Your Australian Business Number</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[APPROVER NAME AND TITLE]</w:t>
            </w:r>
          </w:p>
        </w:tc>
        <w:tc>
          <w:tcPr>
            <w:tcW w:type="dxa" w:w="5900"/>
            <w:tcMar>
              <w:top w:type="dxa" w:w="60"/>
              <w:left w:type="dxa" w:w="100"/>
              <w:bottom w:type="dxa" w:w="60"/>
              <w:right w:type="dxa" w:w="100"/>
            </w:tcMar>
          </w:tcPr>
          <w:p>
            <w:r>
              <w:rPr>
                <w:rFonts w:ascii="Calibri" w:cs="Calibri" w:eastAsia="Calibri" w:hAnsi="Calibri"/>
                <w:sz w:val="19"/>
                <w:szCs w:val="19"/>
              </w:rPr>
              <w:t xml:space="preserve">The director or manager who owns this policy and can issue a legal hold</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[APPROVAL DATE]</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The date the policy is signed off</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[REVIEW DATE]</w:t>
            </w:r>
          </w:p>
        </w:tc>
        <w:tc>
          <w:tcPr>
            <w:tcW w:type="dxa" w:w="5900"/>
            <w:tcMar>
              <w:top w:type="dxa" w:w="60"/>
              <w:left w:type="dxa" w:w="100"/>
              <w:bottom w:type="dxa" w:w="60"/>
              <w:right w:type="dxa" w:w="100"/>
            </w:tcMar>
          </w:tcPr>
          <w:p>
            <w:r>
              <w:rPr>
                <w:rFonts w:ascii="Calibri" w:cs="Calibri" w:eastAsia="Calibri" w:hAnsi="Calibri"/>
                <w:sz w:val="19"/>
                <w:szCs w:val="19"/>
              </w:rPr>
              <w:t xml:space="preserve">Twelve months after approval</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[RESPONSIBLE PERSON OR ROLE]</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Who runs the annual review and keeps the destruction register</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[PERIOD]</w:t>
            </w:r>
          </w:p>
        </w:tc>
        <w:tc>
          <w:tcPr>
            <w:tcW w:type="dxa" w:w="5900"/>
            <w:tcMar>
              <w:top w:type="dxa" w:w="60"/>
              <w:left w:type="dxa" w:w="100"/>
              <w:bottom w:type="dxa" w:w="60"/>
              <w:right w:type="dxa" w:w="100"/>
            </w:tcMar>
          </w:tcPr>
          <w:p>
            <w:r>
              <w:rPr>
                <w:rFonts w:ascii="Calibri" w:cs="Calibri" w:eastAsia="Calibri" w:hAnsi="Calibri"/>
                <w:sz w:val="19"/>
                <w:szCs w:val="19"/>
              </w:rPr>
              <w:t xml:space="preserve">Each retention period left blank in the schedule. There are several</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[MONTH]</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The month you will run the annual destruction review</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[YOUR INDUSTRY RECORD TYPE]</w:t>
            </w:r>
          </w:p>
        </w:tc>
        <w:tc>
          <w:tcPr>
            <w:tcW w:type="dxa" w:w="5900"/>
            <w:tcMar>
              <w:top w:type="dxa" w:w="60"/>
              <w:left w:type="dxa" w:w="100"/>
              <w:bottom w:type="dxa" w:w="60"/>
              <w:right w:type="dxa" w:w="100"/>
            </w:tcMar>
          </w:tcPr>
          <w:p>
            <w:r>
              <w:rPr>
                <w:rFonts w:ascii="Calibri" w:cs="Calibri" w:eastAsia="Calibri" w:hAnsi="Calibri"/>
                <w:sz w:val="19"/>
                <w:szCs w:val="19"/>
              </w:rPr>
              <w:t xml:space="preserve">Any record type specific to your industry, with its period and reason</w:t>
            </w:r>
          </w:p>
        </w:tc>
      </w:tr>
    </w:tbl>
    <w:p>
      <w:pPr>
        <w:spacing w:after="160"/>
      </w:pPr>
      <w:r>
        <w:rPr>
          <w:rFonts w:ascii="Calibri" w:cs="Calibri" w:eastAsia="Calibri" w:hAnsi="Calibri"/>
          <w:b w:val="false"/>
          <w:bCs w:val="false"/>
          <w:i w:val="false"/>
          <w:iCs w:val="false"/>
          <w:color w:val="000000"/>
          <w:sz w:val="21"/>
          <w:szCs w:val="21"/>
        </w:rPr>
        <w:t xml:space="preserve"/>
      </w:r>
    </w:p>
    <w:p>
      <w:pPr>
        <w:pStyle w:val="Heading2"/>
        <w:spacing w:after="100" w:before="220"/>
      </w:pPr>
      <w:r>
        <w:rPr>
          <w:rFonts w:ascii="Calibri" w:cs="Calibri" w:eastAsia="Calibri" w:hAnsi="Calibri"/>
          <w:b/>
          <w:bCs/>
          <w:color w:val="95C840"/>
          <w:sz w:val="24"/>
          <w:szCs w:val="24"/>
        </w:rPr>
        <w:t xml:space="preserve">Why an insurer asks for this</w:t>
      </w:r>
    </w:p>
    <w:p>
      <w:pPr>
        <w:spacing w:after="120"/>
      </w:pPr>
      <w:r>
        <w:rPr>
          <w:rFonts w:ascii="Calibri" w:cs="Calibri" w:eastAsia="Calibri" w:hAnsi="Calibri"/>
          <w:b w:val="false"/>
          <w:bCs w:val="false"/>
          <w:i w:val="false"/>
          <w:iCs w:val="false"/>
          <w:color w:val="000000"/>
          <w:sz w:val="21"/>
          <w:szCs w:val="21"/>
        </w:rPr>
        <w:t xml:space="preserve">This policy appears in the tick-list question about policies on Australian cyber insurance proposal forms, alongside a privacy policy and a cookies policy. It also affects a separate and more expensive question. Forms ask how many personally identifiable information records you hold, in bands, and the band feeds into your premium. Records you have destroyed under this policy are records you no longer count.</w:t>
      </w:r>
    </w:p>
    <w:p>
      <w:pPr>
        <w:pStyle w:val="Heading2"/>
        <w:spacing w:after="100" w:before="220"/>
      </w:pPr>
      <w:r>
        <w:rPr>
          <w:rFonts w:ascii="Calibri" w:cs="Calibri" w:eastAsia="Calibri" w:hAnsi="Calibri"/>
          <w:b/>
          <w:bCs/>
          <w:color w:val="95C840"/>
          <w:sz w:val="24"/>
          <w:szCs w:val="24"/>
        </w:rPr>
        <w:t xml:space="preserve">Important</w:t>
      </w:r>
    </w:p>
    <w:p>
      <w:pPr>
        <w:spacing w:after="120"/>
      </w:pPr>
      <w:r>
        <w:rPr>
          <w:rFonts w:ascii="Calibri" w:cs="Calibri" w:eastAsia="Calibri" w:hAnsi="Calibri"/>
          <w:b w:val="false"/>
          <w:bCs w:val="false"/>
          <w:i/>
          <w:iCs/>
          <w:color w:val="595959"/>
          <w:sz w:val="21"/>
          <w:szCs w:val="21"/>
        </w:rPr>
        <w:t xml:space="preserve">This template is general information, not legal advice. It is a starting point drafted for a typical Australian small business, and it will not cover every obligation that applies to yours. If your business handles health information, credit information, tax file numbers, biometric data or children’s information, or if you operate outside Australia, get advice from a lawyer before you rely on it. 4iT Support Pty Ltd accepts no liability for any use of this template.</w:t>
      </w:r>
    </w:p>
    <w:p>
      <w:r>
        <w:br w:type="page"/>
      </w:r>
    </w:p>
    <w:p>
      <w:pPr>
        <w:pStyle w:val="Heading1"/>
        <w:spacing w:after="140" w:before="240"/>
      </w:pPr>
      <w:r>
        <w:rPr>
          <w:rFonts w:ascii="Calibri" w:cs="Calibri" w:eastAsia="Calibri" w:hAnsi="Calibri"/>
          <w:b/>
          <w:bCs/>
          <w:color w:val="208BCB"/>
          <w:sz w:val="32"/>
          <w:szCs w:val="32"/>
        </w:rPr>
        <w:t xml:space="preserve">Data Retention and Destruction Policy</w:t>
      </w:r>
    </w:p>
    <w:p>
      <w:pPr>
        <w:spacing w:after="120"/>
      </w:pPr>
      <w:r>
        <w:rPr>
          <w:rFonts w:ascii="Calibri" w:cs="Calibri" w:eastAsia="Calibri" w:hAnsi="Calibri"/>
          <w:b w:val="false"/>
          <w:bCs w:val="false"/>
          <w:i w:val="false"/>
          <w:iCs w:val="false"/>
          <w:color w:val="000000"/>
          <w:sz w:val="21"/>
          <w:szCs w:val="21"/>
        </w:rPr>
        <w:t xml:space="preserve">This policy sets out how long [ORGANISATION NAME] ABN [ABN] keeps records, how we destroy them when we no longer need them, and who is responsible for making that happen.</w:t>
      </w:r>
    </w:p>
    <w:p>
      <w:pPr>
        <w:spacing w:after="120"/>
      </w:pPr>
      <w:r>
        <w:rPr>
          <w:rFonts w:ascii="Calibri" w:cs="Calibri" w:eastAsia="Calibri" w:hAnsi="Calibri"/>
          <w:b w:val="false"/>
          <w:bCs w:val="false"/>
          <w:i w:val="false"/>
          <w:iCs w:val="false"/>
          <w:color w:val="000000"/>
          <w:sz w:val="21"/>
          <w:szCs w:val="21"/>
        </w:rPr>
        <w:t xml:space="preserve">Approved by [APPROVER NAME AND TITLE] on [APPROVAL DATE]. Next review [REVIEW DATE].</w:t>
      </w:r>
    </w:p>
    <w:p>
      <w:pPr>
        <w:pStyle w:val="Heading2"/>
        <w:spacing w:after="100" w:before="220"/>
      </w:pPr>
      <w:r>
        <w:rPr>
          <w:rFonts w:ascii="Calibri" w:cs="Calibri" w:eastAsia="Calibri" w:hAnsi="Calibri"/>
          <w:b/>
          <w:bCs/>
          <w:color w:val="95C840"/>
          <w:sz w:val="24"/>
          <w:szCs w:val="24"/>
        </w:rPr>
        <w:t xml:space="preserve">Why we have this policy</w:t>
      </w:r>
    </w:p>
    <w:p>
      <w:pPr>
        <w:spacing w:after="120"/>
      </w:pPr>
      <w:r>
        <w:rPr>
          <w:rFonts w:ascii="Calibri" w:cs="Calibri" w:eastAsia="Calibri" w:hAnsi="Calibri"/>
          <w:b w:val="false"/>
          <w:bCs w:val="false"/>
          <w:i w:val="false"/>
          <w:iCs w:val="false"/>
          <w:color w:val="000000"/>
          <w:sz w:val="21"/>
          <w:szCs w:val="21"/>
        </w:rPr>
        <w:t xml:space="preserve">Information we no longer need is a cost and a risk. It takes up storage, it has to be secured and backed up, and if we suffer a breach it is part of what is exposed. Information we destroy too early is a different problem, because we may be legally required to produce it. This policy sets the periods between those two mistakes.</w:t>
      </w:r>
    </w:p>
    <w:p>
      <w:pPr>
        <w:pStyle w:val="Heading2"/>
        <w:spacing w:after="100" w:before="220"/>
      </w:pPr>
      <w:r>
        <w:rPr>
          <w:rFonts w:ascii="Calibri" w:cs="Calibri" w:eastAsia="Calibri" w:hAnsi="Calibri"/>
          <w:b/>
          <w:bCs/>
          <w:color w:val="95C840"/>
          <w:sz w:val="24"/>
          <w:szCs w:val="24"/>
        </w:rPr>
        <w:t xml:space="preserve">Scope</w:t>
      </w:r>
    </w:p>
    <w:p>
      <w:pPr>
        <w:spacing w:after="120"/>
      </w:pPr>
      <w:r>
        <w:rPr>
          <w:rFonts w:ascii="Calibri" w:cs="Calibri" w:eastAsia="Calibri" w:hAnsi="Calibri"/>
          <w:b w:val="false"/>
          <w:bCs w:val="false"/>
          <w:i w:val="false"/>
          <w:iCs w:val="false"/>
          <w:color w:val="000000"/>
          <w:sz w:val="21"/>
          <w:szCs w:val="21"/>
        </w:rPr>
        <w:t xml:space="preserve">This policy applies to all records we hold, in any format and any location, including:</w:t>
      </w:r>
    </w:p>
    <w:p>
      <w:pPr>
        <w:pStyle w:val="ListParagraph"/>
        <w:numPr>
          <w:ilvl w:val="0"/>
          <w:numId w:val="2"/>
        </w:numPr>
        <w:spacing w:after="70"/>
      </w:pPr>
      <w:r>
        <w:rPr>
          <w:rFonts w:ascii="Calibri" w:cs="Calibri" w:eastAsia="Calibri" w:hAnsi="Calibri"/>
          <w:sz w:val="21"/>
          <w:szCs w:val="21"/>
        </w:rPr>
        <w:t xml:space="preserve">Documents and spreadsheets on our file storage and in cloud services.</w:t>
      </w:r>
    </w:p>
    <w:p>
      <w:pPr>
        <w:pStyle w:val="ListParagraph"/>
        <w:numPr>
          <w:ilvl w:val="0"/>
          <w:numId w:val="2"/>
        </w:numPr>
        <w:spacing w:after="70"/>
      </w:pPr>
      <w:r>
        <w:rPr>
          <w:rFonts w:ascii="Calibri" w:cs="Calibri" w:eastAsia="Calibri" w:hAnsi="Calibri"/>
          <w:sz w:val="21"/>
          <w:szCs w:val="21"/>
        </w:rPr>
        <w:t xml:space="preserve">Email, including archived and deleted items.</w:t>
      </w:r>
    </w:p>
    <w:p>
      <w:pPr>
        <w:pStyle w:val="ListParagraph"/>
        <w:numPr>
          <w:ilvl w:val="0"/>
          <w:numId w:val="2"/>
        </w:numPr>
        <w:spacing w:after="70"/>
      </w:pPr>
      <w:r>
        <w:rPr>
          <w:rFonts w:ascii="Calibri" w:cs="Calibri" w:eastAsia="Calibri" w:hAnsi="Calibri"/>
          <w:sz w:val="21"/>
          <w:szCs w:val="21"/>
        </w:rPr>
        <w:t xml:space="preserve">Records in our business systems, such as our accounting, payroll and customer systems.</w:t>
      </w:r>
    </w:p>
    <w:p>
      <w:pPr>
        <w:pStyle w:val="ListParagraph"/>
        <w:numPr>
          <w:ilvl w:val="0"/>
          <w:numId w:val="2"/>
        </w:numPr>
        <w:spacing w:after="70"/>
      </w:pPr>
      <w:r>
        <w:rPr>
          <w:rFonts w:ascii="Calibri" w:cs="Calibri" w:eastAsia="Calibri" w:hAnsi="Calibri"/>
          <w:sz w:val="21"/>
          <w:szCs w:val="21"/>
        </w:rPr>
        <w:t xml:space="preserve">Paper records, including files, notebooks and printed correspondence.</w:t>
      </w:r>
    </w:p>
    <w:p>
      <w:pPr>
        <w:pStyle w:val="ListParagraph"/>
        <w:numPr>
          <w:ilvl w:val="0"/>
          <w:numId w:val="2"/>
        </w:numPr>
        <w:spacing w:after="70"/>
      </w:pPr>
      <w:r>
        <w:rPr>
          <w:rFonts w:ascii="Calibri" w:cs="Calibri" w:eastAsia="Calibri" w:hAnsi="Calibri"/>
          <w:sz w:val="21"/>
          <w:szCs w:val="21"/>
        </w:rPr>
        <w:t xml:space="preserve">Backups and archives.</w:t>
      </w:r>
    </w:p>
    <w:p>
      <w:pPr>
        <w:pStyle w:val="ListParagraph"/>
        <w:numPr>
          <w:ilvl w:val="0"/>
          <w:numId w:val="2"/>
        </w:numPr>
        <w:spacing w:after="70"/>
      </w:pPr>
      <w:r>
        <w:rPr>
          <w:rFonts w:ascii="Calibri" w:cs="Calibri" w:eastAsia="Calibri" w:hAnsi="Calibri"/>
          <w:sz w:val="21"/>
          <w:szCs w:val="21"/>
        </w:rPr>
        <w:t xml:space="preserve">Records held on staff-owned devices under our Bring Your Own Device Policy.</w:t>
      </w:r>
    </w:p>
    <w:p>
      <w:pPr>
        <w:spacing w:after="120"/>
      </w:pPr>
      <w:r>
        <w:rPr>
          <w:rFonts w:ascii="Calibri" w:cs="Calibri" w:eastAsia="Calibri" w:hAnsi="Calibri"/>
          <w:b w:val="false"/>
          <w:bCs w:val="false"/>
          <w:i w:val="false"/>
          <w:iCs w:val="false"/>
          <w:color w:val="000000"/>
          <w:sz w:val="21"/>
          <w:szCs w:val="21"/>
        </w:rPr>
        <w:t xml:space="preserve">It applies to all staff, contractors and anyone else handling our records.</w:t>
      </w:r>
    </w:p>
    <w:p>
      <w:pPr>
        <w:pStyle w:val="Heading2"/>
        <w:spacing w:after="100" w:before="220"/>
      </w:pPr>
      <w:r>
        <w:rPr>
          <w:rFonts w:ascii="Calibri" w:cs="Calibri" w:eastAsia="Calibri" w:hAnsi="Calibri"/>
          <w:b/>
          <w:bCs/>
          <w:color w:val="95C840"/>
          <w:sz w:val="24"/>
          <w:szCs w:val="24"/>
        </w:rPr>
        <w:t xml:space="preserve">Principles</w:t>
      </w:r>
    </w:p>
    <w:p>
      <w:pPr>
        <w:pStyle w:val="ListParagraph"/>
        <w:numPr>
          <w:ilvl w:val="0"/>
          <w:numId w:val="2"/>
        </w:numPr>
        <w:spacing w:after="70"/>
      </w:pPr>
      <w:r>
        <w:rPr>
          <w:rFonts w:ascii="Calibri" w:cs="Calibri" w:eastAsia="Calibri" w:hAnsi="Calibri"/>
          <w:sz w:val="21"/>
          <w:szCs w:val="21"/>
        </w:rPr>
        <w:t xml:space="preserve">We keep a record for as long as we need it for the purpose we collected it, or for as long as the law requires, whichever is longer.</w:t>
      </w:r>
    </w:p>
    <w:p>
      <w:pPr>
        <w:pStyle w:val="ListParagraph"/>
        <w:numPr>
          <w:ilvl w:val="0"/>
          <w:numId w:val="2"/>
        </w:numPr>
        <w:spacing w:after="70"/>
      </w:pPr>
      <w:r>
        <w:rPr>
          <w:rFonts w:ascii="Calibri" w:cs="Calibri" w:eastAsia="Calibri" w:hAnsi="Calibri"/>
          <w:sz w:val="21"/>
          <w:szCs w:val="21"/>
        </w:rPr>
        <w:t xml:space="preserve">We do not keep personal information "just in case". If we cannot state why we still hold it, we destroy it.</w:t>
      </w:r>
    </w:p>
    <w:p>
      <w:pPr>
        <w:pStyle w:val="ListParagraph"/>
        <w:numPr>
          <w:ilvl w:val="0"/>
          <w:numId w:val="2"/>
        </w:numPr>
        <w:spacing w:after="70"/>
      </w:pPr>
      <w:r>
        <w:rPr>
          <w:rFonts w:ascii="Calibri" w:cs="Calibri" w:eastAsia="Calibri" w:hAnsi="Calibri"/>
          <w:sz w:val="21"/>
          <w:szCs w:val="21"/>
        </w:rPr>
        <w:t xml:space="preserve">We destroy records securely, so they cannot be reconstructed.</w:t>
      </w:r>
    </w:p>
    <w:p>
      <w:pPr>
        <w:pStyle w:val="ListParagraph"/>
        <w:numPr>
          <w:ilvl w:val="0"/>
          <w:numId w:val="2"/>
        </w:numPr>
        <w:spacing w:after="70"/>
      </w:pPr>
      <w:r>
        <w:rPr>
          <w:rFonts w:ascii="Calibri" w:cs="Calibri" w:eastAsia="Calibri" w:hAnsi="Calibri"/>
          <w:sz w:val="21"/>
          <w:szCs w:val="21"/>
        </w:rPr>
        <w:t xml:space="preserve">We record what we destroyed and when.</w:t>
      </w:r>
    </w:p>
    <w:p>
      <w:pPr>
        <w:pStyle w:val="ListParagraph"/>
        <w:numPr>
          <w:ilvl w:val="0"/>
          <w:numId w:val="2"/>
        </w:numPr>
        <w:spacing w:after="70"/>
      </w:pPr>
      <w:r>
        <w:rPr>
          <w:rFonts w:ascii="Calibri" w:cs="Calibri" w:eastAsia="Calibri" w:hAnsi="Calibri"/>
          <w:sz w:val="21"/>
          <w:szCs w:val="21"/>
        </w:rPr>
        <w:t xml:space="preserve">We stop destruction immediately where a legal hold applies.</w:t>
      </w:r>
    </w:p>
    <w:p>
      <w:pPr>
        <w:pStyle w:val="Heading2"/>
        <w:spacing w:after="100" w:before="220"/>
      </w:pPr>
      <w:r>
        <w:rPr>
          <w:rFonts w:ascii="Calibri" w:cs="Calibri" w:eastAsia="Calibri" w:hAnsi="Calibri"/>
          <w:b/>
          <w:bCs/>
          <w:color w:val="95C840"/>
          <w:sz w:val="24"/>
          <w:szCs w:val="24"/>
        </w:rPr>
        <w:t xml:space="preserve">Retention schedule</w:t>
      </w:r>
    </w:p>
    <w:p>
      <w:pPr>
        <w:spacing w:after="120"/>
      </w:pPr>
      <w:r>
        <w:rPr>
          <w:rFonts w:ascii="Calibri" w:cs="Calibri" w:eastAsia="Calibri" w:hAnsi="Calibri"/>
          <w:b w:val="false"/>
          <w:bCs w:val="false"/>
          <w:i w:val="false"/>
          <w:iCs w:val="false"/>
          <w:color w:val="000000"/>
          <w:sz w:val="21"/>
          <w:szCs w:val="21"/>
        </w:rPr>
        <w:t xml:space="preserve">The periods below are a starting point for a typical Australian business. Check them against your own obligations, since your industry, your funding arrangements and your contracts may require longer. Where two periods apply, the longer one wins.</w:t>
      </w:r>
    </w:p>
    <w:p>
      <w:pPr>
        <w:spacing w:after="120"/>
      </w:pPr>
      <w:r>
        <w:rPr>
          <w:rFonts w:ascii="Calibri" w:cs="Calibri" w:eastAsia="Calibri" w:hAnsi="Calibri"/>
          <w:b w:val="false"/>
          <w:bCs w:val="false"/>
          <w:i w:val="false"/>
          <w:iCs w:val="false"/>
          <w:color w:val="000000"/>
          <w:sz w:val="21"/>
          <w:szCs w:val="21"/>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300"/>
        <w:gridCol w:w="1700"/>
        <w:gridCol w:w="4100"/>
      </w:tblGrid>
      <w:tr>
        <w:trPr>
          <w:tblHeader/>
        </w:trPr>
        <w:tc>
          <w:tcPr>
            <w:tcW w:type="dxa" w:w="3300"/>
            <w:shd w:fill="208BCB" w:color="auto" w:val="clear"/>
            <w:tcMar>
              <w:top w:type="dxa" w:w="60"/>
              <w:left w:type="dxa" w:w="100"/>
              <w:bottom w:type="dxa" w:w="60"/>
              <w:right w:type="dxa" w:w="100"/>
            </w:tcMar>
          </w:tcPr>
          <w:p>
            <w:r>
              <w:rPr>
                <w:rFonts w:ascii="Calibri" w:cs="Calibri" w:eastAsia="Calibri" w:hAnsi="Calibri"/>
                <w:b/>
                <w:bCs/>
                <w:color w:val="FFFFFF"/>
                <w:sz w:val="18"/>
                <w:szCs w:val="18"/>
              </w:rPr>
              <w:t xml:space="preserve">Record type</w:t>
            </w:r>
          </w:p>
        </w:tc>
        <w:tc>
          <w:tcPr>
            <w:tcW w:type="dxa" w:w="1700"/>
            <w:shd w:fill="208BCB" w:color="auto" w:val="clear"/>
            <w:tcMar>
              <w:top w:type="dxa" w:w="60"/>
              <w:left w:type="dxa" w:w="100"/>
              <w:bottom w:type="dxa" w:w="60"/>
              <w:right w:type="dxa" w:w="100"/>
            </w:tcMar>
          </w:tcPr>
          <w:p>
            <w:r>
              <w:rPr>
                <w:rFonts w:ascii="Calibri" w:cs="Calibri" w:eastAsia="Calibri" w:hAnsi="Calibri"/>
                <w:b/>
                <w:bCs/>
                <w:color w:val="FFFFFF"/>
                <w:sz w:val="18"/>
                <w:szCs w:val="18"/>
              </w:rPr>
              <w:t xml:space="preserve">Keep for</w:t>
            </w:r>
          </w:p>
        </w:tc>
        <w:tc>
          <w:tcPr>
            <w:tcW w:type="dxa" w:w="4100"/>
            <w:shd w:fill="208BCB" w:color="auto" w:val="clear"/>
            <w:tcMar>
              <w:top w:type="dxa" w:w="60"/>
              <w:left w:type="dxa" w:w="100"/>
              <w:bottom w:type="dxa" w:w="60"/>
              <w:right w:type="dxa" w:w="100"/>
            </w:tcMar>
          </w:tcPr>
          <w:p>
            <w:r>
              <w:rPr>
                <w:rFonts w:ascii="Calibri" w:cs="Calibri" w:eastAsia="Calibri" w:hAnsi="Calibri"/>
                <w:b/>
                <w:bCs/>
                <w:color w:val="FFFFFF"/>
                <w:sz w:val="18"/>
                <w:szCs w:val="18"/>
              </w:rPr>
              <w:t xml:space="preserve">Reason and notes</w:t>
            </w:r>
          </w:p>
        </w:tc>
      </w:tr>
      <w:tr>
        <w:tc>
          <w:tcPr>
            <w:tcW w:type="dxa" w:w="3300"/>
            <w:tcMar>
              <w:top w:type="dxa" w:w="60"/>
              <w:left w:type="dxa" w:w="100"/>
              <w:bottom w:type="dxa" w:w="60"/>
              <w:right w:type="dxa" w:w="100"/>
            </w:tcMar>
          </w:tcPr>
          <w:p>
            <w:r>
              <w:rPr>
                <w:rFonts w:ascii="Calibri" w:cs="Calibri" w:eastAsia="Calibri" w:hAnsi="Calibri"/>
                <w:sz w:val="18"/>
                <w:szCs w:val="18"/>
              </w:rPr>
              <w:t xml:space="preserve">Financial records, invoices, receipts, general ledger</w:t>
            </w:r>
          </w:p>
        </w:tc>
        <w:tc>
          <w:tcPr>
            <w:tcW w:type="dxa" w:w="1700"/>
            <w:tcMar>
              <w:top w:type="dxa" w:w="60"/>
              <w:left w:type="dxa" w:w="100"/>
              <w:bottom w:type="dxa" w:w="60"/>
              <w:right w:type="dxa" w:w="100"/>
            </w:tcMar>
          </w:tcPr>
          <w:p>
            <w:r>
              <w:rPr>
                <w:rFonts w:ascii="Calibri" w:cs="Calibri" w:eastAsia="Calibri" w:hAnsi="Calibri"/>
                <w:sz w:val="18"/>
                <w:szCs w:val="18"/>
              </w:rPr>
              <w:t xml:space="preserve">7 years</w:t>
            </w:r>
          </w:p>
        </w:tc>
        <w:tc>
          <w:tcPr>
            <w:tcW w:type="dxa" w:w="4100"/>
            <w:tcMar>
              <w:top w:type="dxa" w:w="60"/>
              <w:left w:type="dxa" w:w="100"/>
              <w:bottom w:type="dxa" w:w="60"/>
              <w:right w:type="dxa" w:w="100"/>
            </w:tcMar>
          </w:tcPr>
          <w:p>
            <w:r>
              <w:rPr>
                <w:rFonts w:ascii="Calibri" w:cs="Calibri" w:eastAsia="Calibri" w:hAnsi="Calibri"/>
                <w:sz w:val="18"/>
                <w:szCs w:val="18"/>
              </w:rPr>
              <w:t xml:space="preserve">Australian Taxation Office record-keeping requirements. Measured from when the record was prepared or the transaction completed, whichever is later.</w:t>
            </w:r>
          </w:p>
        </w:tc>
      </w:tr>
      <w:tr>
        <w:tc>
          <w:tcPr>
            <w:tcW w:type="dxa" w:w="3300"/>
            <w:shd w:fill="F2F7FA" w:color="auto" w:val="clear"/>
            <w:tcMar>
              <w:top w:type="dxa" w:w="60"/>
              <w:left w:type="dxa" w:w="100"/>
              <w:bottom w:type="dxa" w:w="60"/>
              <w:right w:type="dxa" w:w="100"/>
            </w:tcMar>
          </w:tcPr>
          <w:p>
            <w:r>
              <w:rPr>
                <w:rFonts w:ascii="Calibri" w:cs="Calibri" w:eastAsia="Calibri" w:hAnsi="Calibri"/>
                <w:sz w:val="18"/>
                <w:szCs w:val="18"/>
              </w:rPr>
              <w:t xml:space="preserve">Tax returns and supporting documents</w:t>
            </w:r>
          </w:p>
        </w:tc>
        <w:tc>
          <w:tcPr>
            <w:tcW w:type="dxa" w:w="1700"/>
            <w:shd w:fill="F2F7FA" w:color="auto" w:val="clear"/>
            <w:tcMar>
              <w:top w:type="dxa" w:w="60"/>
              <w:left w:type="dxa" w:w="100"/>
              <w:bottom w:type="dxa" w:w="60"/>
              <w:right w:type="dxa" w:w="100"/>
            </w:tcMar>
          </w:tcPr>
          <w:p>
            <w:r>
              <w:rPr>
                <w:rFonts w:ascii="Calibri" w:cs="Calibri" w:eastAsia="Calibri" w:hAnsi="Calibri"/>
                <w:sz w:val="18"/>
                <w:szCs w:val="18"/>
              </w:rPr>
              <w:t xml:space="preserve">7 years</w:t>
            </w:r>
          </w:p>
        </w:tc>
        <w:tc>
          <w:tcPr>
            <w:tcW w:type="dxa" w:w="4100"/>
            <w:shd w:fill="F2F7FA" w:color="auto" w:val="clear"/>
            <w:tcMar>
              <w:top w:type="dxa" w:w="60"/>
              <w:left w:type="dxa" w:w="100"/>
              <w:bottom w:type="dxa" w:w="60"/>
              <w:right w:type="dxa" w:w="100"/>
            </w:tcMar>
          </w:tcPr>
          <w:p>
            <w:r>
              <w:rPr>
                <w:rFonts w:ascii="Calibri" w:cs="Calibri" w:eastAsia="Calibri" w:hAnsi="Calibri"/>
                <w:sz w:val="18"/>
                <w:szCs w:val="18"/>
              </w:rPr>
              <w:t xml:space="preserve">As above. Keep longer if a matter is in dispute.</w:t>
            </w:r>
          </w:p>
        </w:tc>
      </w:tr>
      <w:tr>
        <w:tc>
          <w:tcPr>
            <w:tcW w:type="dxa" w:w="3300"/>
            <w:tcMar>
              <w:top w:type="dxa" w:w="60"/>
              <w:left w:type="dxa" w:w="100"/>
              <w:bottom w:type="dxa" w:w="60"/>
              <w:right w:type="dxa" w:w="100"/>
            </w:tcMar>
          </w:tcPr>
          <w:p>
            <w:r>
              <w:rPr>
                <w:rFonts w:ascii="Calibri" w:cs="Calibri" w:eastAsia="Calibri" w:hAnsi="Calibri"/>
                <w:sz w:val="18"/>
                <w:szCs w:val="18"/>
              </w:rPr>
              <w:t xml:space="preserve">Employee records, including pay and hours</w:t>
            </w:r>
          </w:p>
        </w:tc>
        <w:tc>
          <w:tcPr>
            <w:tcW w:type="dxa" w:w="1700"/>
            <w:tcMar>
              <w:top w:type="dxa" w:w="60"/>
              <w:left w:type="dxa" w:w="100"/>
              <w:bottom w:type="dxa" w:w="60"/>
              <w:right w:type="dxa" w:w="100"/>
            </w:tcMar>
          </w:tcPr>
          <w:p>
            <w:r>
              <w:rPr>
                <w:rFonts w:ascii="Calibri" w:cs="Calibri" w:eastAsia="Calibri" w:hAnsi="Calibri"/>
                <w:sz w:val="18"/>
                <w:szCs w:val="18"/>
              </w:rPr>
              <w:t xml:space="preserve">7 years</w:t>
            </w:r>
          </w:p>
        </w:tc>
        <w:tc>
          <w:tcPr>
            <w:tcW w:type="dxa" w:w="4100"/>
            <w:tcMar>
              <w:top w:type="dxa" w:w="60"/>
              <w:left w:type="dxa" w:w="100"/>
              <w:bottom w:type="dxa" w:w="60"/>
              <w:right w:type="dxa" w:w="100"/>
            </w:tcMar>
          </w:tcPr>
          <w:p>
            <w:r>
              <w:rPr>
                <w:rFonts w:ascii="Calibri" w:cs="Calibri" w:eastAsia="Calibri" w:hAnsi="Calibri"/>
                <w:sz w:val="18"/>
                <w:szCs w:val="18"/>
              </w:rPr>
              <w:t xml:space="preserve">Fair Work Act record-keeping requirements. Some records must be kept for 7 years after employment ends.</w:t>
            </w:r>
          </w:p>
        </w:tc>
      </w:tr>
      <w:tr>
        <w:tc>
          <w:tcPr>
            <w:tcW w:type="dxa" w:w="3300"/>
            <w:shd w:fill="F2F7FA" w:color="auto" w:val="clear"/>
            <w:tcMar>
              <w:top w:type="dxa" w:w="60"/>
              <w:left w:type="dxa" w:w="100"/>
              <w:bottom w:type="dxa" w:w="60"/>
              <w:right w:type="dxa" w:w="100"/>
            </w:tcMar>
          </w:tcPr>
          <w:p>
            <w:r>
              <w:rPr>
                <w:rFonts w:ascii="Calibri" w:cs="Calibri" w:eastAsia="Calibri" w:hAnsi="Calibri"/>
                <w:sz w:val="18"/>
                <w:szCs w:val="18"/>
              </w:rPr>
              <w:t xml:space="preserve">Superannuation records</w:t>
            </w:r>
          </w:p>
        </w:tc>
        <w:tc>
          <w:tcPr>
            <w:tcW w:type="dxa" w:w="1700"/>
            <w:shd w:fill="F2F7FA" w:color="auto" w:val="clear"/>
            <w:tcMar>
              <w:top w:type="dxa" w:w="60"/>
              <w:left w:type="dxa" w:w="100"/>
              <w:bottom w:type="dxa" w:w="60"/>
              <w:right w:type="dxa" w:w="100"/>
            </w:tcMar>
          </w:tcPr>
          <w:p>
            <w:r>
              <w:rPr>
                <w:rFonts w:ascii="Calibri" w:cs="Calibri" w:eastAsia="Calibri" w:hAnsi="Calibri"/>
                <w:sz w:val="18"/>
                <w:szCs w:val="18"/>
              </w:rPr>
              <w:t xml:space="preserve">7 years</w:t>
            </w:r>
          </w:p>
        </w:tc>
        <w:tc>
          <w:tcPr>
            <w:tcW w:type="dxa" w:w="4100"/>
            <w:shd w:fill="F2F7FA" w:color="auto" w:val="clear"/>
            <w:tcMar>
              <w:top w:type="dxa" w:w="60"/>
              <w:left w:type="dxa" w:w="100"/>
              <w:bottom w:type="dxa" w:w="60"/>
              <w:right w:type="dxa" w:w="100"/>
            </w:tcMar>
          </w:tcPr>
          <w:p>
            <w:r>
              <w:rPr>
                <w:rFonts w:ascii="Calibri" w:cs="Calibri" w:eastAsia="Calibri" w:hAnsi="Calibri"/>
                <w:sz w:val="18"/>
                <w:szCs w:val="18"/>
              </w:rPr>
              <w:t xml:space="preserve">Superannuation guarantee obligations.</w:t>
            </w:r>
          </w:p>
        </w:tc>
      </w:tr>
      <w:tr>
        <w:tc>
          <w:tcPr>
            <w:tcW w:type="dxa" w:w="3300"/>
            <w:tcMar>
              <w:top w:type="dxa" w:w="60"/>
              <w:left w:type="dxa" w:w="100"/>
              <w:bottom w:type="dxa" w:w="60"/>
              <w:right w:type="dxa" w:w="100"/>
            </w:tcMar>
          </w:tcPr>
          <w:p>
            <w:r>
              <w:rPr>
                <w:rFonts w:ascii="Calibri" w:cs="Calibri" w:eastAsia="Calibri" w:hAnsi="Calibri"/>
                <w:sz w:val="18"/>
                <w:szCs w:val="18"/>
              </w:rPr>
              <w:t xml:space="preserve">Work health and safety incident records</w:t>
            </w:r>
          </w:p>
        </w:tc>
        <w:tc>
          <w:tcPr>
            <w:tcW w:type="dxa" w:w="1700"/>
            <w:tcMar>
              <w:top w:type="dxa" w:w="60"/>
              <w:left w:type="dxa" w:w="100"/>
              <w:bottom w:type="dxa" w:w="60"/>
              <w:right w:type="dxa" w:w="100"/>
            </w:tcMar>
          </w:tcPr>
          <w:p>
            <w:r>
              <w:rPr>
                <w:rFonts w:ascii="Calibri" w:cs="Calibri" w:eastAsia="Calibri" w:hAnsi="Calibri"/>
                <w:sz w:val="18"/>
                <w:szCs w:val="18"/>
              </w:rPr>
              <w:t xml:space="preserve">[PERIOD]</w:t>
            </w:r>
          </w:p>
        </w:tc>
        <w:tc>
          <w:tcPr>
            <w:tcW w:type="dxa" w:w="4100"/>
            <w:tcMar>
              <w:top w:type="dxa" w:w="60"/>
              <w:left w:type="dxa" w:w="100"/>
              <w:bottom w:type="dxa" w:w="60"/>
              <w:right w:type="dxa" w:w="100"/>
            </w:tcMar>
          </w:tcPr>
          <w:p>
            <w:r>
              <w:rPr>
                <w:rFonts w:ascii="Calibri" w:cs="Calibri" w:eastAsia="Calibri" w:hAnsi="Calibri"/>
                <w:sz w:val="18"/>
                <w:szCs w:val="18"/>
              </w:rPr>
              <w:t xml:space="preserve">Varies by state and by incident type. Check your state regulator. Exposure records can require decades.</w:t>
            </w:r>
          </w:p>
        </w:tc>
      </w:tr>
      <w:tr>
        <w:tc>
          <w:tcPr>
            <w:tcW w:type="dxa" w:w="3300"/>
            <w:shd w:fill="F2F7FA" w:color="auto" w:val="clear"/>
            <w:tcMar>
              <w:top w:type="dxa" w:w="60"/>
              <w:left w:type="dxa" w:w="100"/>
              <w:bottom w:type="dxa" w:w="60"/>
              <w:right w:type="dxa" w:w="100"/>
            </w:tcMar>
          </w:tcPr>
          <w:p>
            <w:r>
              <w:rPr>
                <w:rFonts w:ascii="Calibri" w:cs="Calibri" w:eastAsia="Calibri" w:hAnsi="Calibri"/>
                <w:sz w:val="18"/>
                <w:szCs w:val="18"/>
              </w:rPr>
              <w:t xml:space="preserve">Company registers and constitution</w:t>
            </w:r>
          </w:p>
        </w:tc>
        <w:tc>
          <w:tcPr>
            <w:tcW w:type="dxa" w:w="1700"/>
            <w:shd w:fill="F2F7FA" w:color="auto" w:val="clear"/>
            <w:tcMar>
              <w:top w:type="dxa" w:w="60"/>
              <w:left w:type="dxa" w:w="100"/>
              <w:bottom w:type="dxa" w:w="60"/>
              <w:right w:type="dxa" w:w="100"/>
            </w:tcMar>
          </w:tcPr>
          <w:p>
            <w:r>
              <w:rPr>
                <w:rFonts w:ascii="Calibri" w:cs="Calibri" w:eastAsia="Calibri" w:hAnsi="Calibri"/>
                <w:sz w:val="18"/>
                <w:szCs w:val="18"/>
              </w:rPr>
              <w:t xml:space="preserve">Life of company plus 7 years</w:t>
            </w:r>
          </w:p>
        </w:tc>
        <w:tc>
          <w:tcPr>
            <w:tcW w:type="dxa" w:w="4100"/>
            <w:shd w:fill="F2F7FA" w:color="auto" w:val="clear"/>
            <w:tcMar>
              <w:top w:type="dxa" w:w="60"/>
              <w:left w:type="dxa" w:w="100"/>
              <w:bottom w:type="dxa" w:w="60"/>
              <w:right w:type="dxa" w:w="100"/>
            </w:tcMar>
          </w:tcPr>
          <w:p>
            <w:r>
              <w:rPr>
                <w:rFonts w:ascii="Calibri" w:cs="Calibri" w:eastAsia="Calibri" w:hAnsi="Calibri"/>
                <w:sz w:val="18"/>
                <w:szCs w:val="18"/>
              </w:rPr>
              <w:t xml:space="preserve">Corporations Act obligations.</w:t>
            </w:r>
          </w:p>
        </w:tc>
      </w:tr>
      <w:tr>
        <w:tc>
          <w:tcPr>
            <w:tcW w:type="dxa" w:w="3300"/>
            <w:tcMar>
              <w:top w:type="dxa" w:w="60"/>
              <w:left w:type="dxa" w:w="100"/>
              <w:bottom w:type="dxa" w:w="60"/>
              <w:right w:type="dxa" w:w="100"/>
            </w:tcMar>
          </w:tcPr>
          <w:p>
            <w:r>
              <w:rPr>
                <w:rFonts w:ascii="Calibri" w:cs="Calibri" w:eastAsia="Calibri" w:hAnsi="Calibri"/>
                <w:sz w:val="18"/>
                <w:szCs w:val="18"/>
              </w:rPr>
              <w:t xml:space="preserve">Contracts and agreements</w:t>
            </w:r>
          </w:p>
        </w:tc>
        <w:tc>
          <w:tcPr>
            <w:tcW w:type="dxa" w:w="1700"/>
            <w:tcMar>
              <w:top w:type="dxa" w:w="60"/>
              <w:left w:type="dxa" w:w="100"/>
              <w:bottom w:type="dxa" w:w="60"/>
              <w:right w:type="dxa" w:w="100"/>
            </w:tcMar>
          </w:tcPr>
          <w:p>
            <w:r>
              <w:rPr>
                <w:rFonts w:ascii="Calibri" w:cs="Calibri" w:eastAsia="Calibri" w:hAnsi="Calibri"/>
                <w:sz w:val="18"/>
                <w:szCs w:val="18"/>
              </w:rPr>
              <w:t xml:space="preserve">7 years after expiry</w:t>
            </w:r>
          </w:p>
        </w:tc>
        <w:tc>
          <w:tcPr>
            <w:tcW w:type="dxa" w:w="4100"/>
            <w:tcMar>
              <w:top w:type="dxa" w:w="60"/>
              <w:left w:type="dxa" w:w="100"/>
              <w:bottom w:type="dxa" w:w="60"/>
              <w:right w:type="dxa" w:w="100"/>
            </w:tcMar>
          </w:tcPr>
          <w:p>
            <w:r>
              <w:rPr>
                <w:rFonts w:ascii="Calibri" w:cs="Calibri" w:eastAsia="Calibri" w:hAnsi="Calibri"/>
                <w:sz w:val="18"/>
                <w:szCs w:val="18"/>
              </w:rPr>
              <w:t xml:space="preserve">Limitation periods for contractual claims. Longer for anything involving property or long-tail liability.</w:t>
            </w:r>
          </w:p>
        </w:tc>
      </w:tr>
      <w:tr>
        <w:tc>
          <w:tcPr>
            <w:tcW w:type="dxa" w:w="3300"/>
            <w:shd w:fill="F2F7FA" w:color="auto" w:val="clear"/>
            <w:tcMar>
              <w:top w:type="dxa" w:w="60"/>
              <w:left w:type="dxa" w:w="100"/>
              <w:bottom w:type="dxa" w:w="60"/>
              <w:right w:type="dxa" w:w="100"/>
            </w:tcMar>
          </w:tcPr>
          <w:p>
            <w:r>
              <w:rPr>
                <w:rFonts w:ascii="Calibri" w:cs="Calibri" w:eastAsia="Calibri" w:hAnsi="Calibri"/>
                <w:sz w:val="18"/>
                <w:szCs w:val="18"/>
              </w:rPr>
              <w:t xml:space="preserve">Customer contact and CRM records</w:t>
            </w:r>
          </w:p>
        </w:tc>
        <w:tc>
          <w:tcPr>
            <w:tcW w:type="dxa" w:w="1700"/>
            <w:shd w:fill="F2F7FA" w:color="auto" w:val="clear"/>
            <w:tcMar>
              <w:top w:type="dxa" w:w="60"/>
              <w:left w:type="dxa" w:w="100"/>
              <w:bottom w:type="dxa" w:w="60"/>
              <w:right w:type="dxa" w:w="100"/>
            </w:tcMar>
          </w:tcPr>
          <w:p>
            <w:r>
              <w:rPr>
                <w:rFonts w:ascii="Calibri" w:cs="Calibri" w:eastAsia="Calibri" w:hAnsi="Calibri"/>
                <w:sz w:val="18"/>
                <w:szCs w:val="18"/>
              </w:rPr>
              <w:t xml:space="preserve">[PERIOD] after last contact</w:t>
            </w:r>
          </w:p>
        </w:tc>
        <w:tc>
          <w:tcPr>
            <w:tcW w:type="dxa" w:w="4100"/>
            <w:shd w:fill="F2F7FA" w:color="auto" w:val="clear"/>
            <w:tcMar>
              <w:top w:type="dxa" w:w="60"/>
              <w:left w:type="dxa" w:w="100"/>
              <w:bottom w:type="dxa" w:w="60"/>
              <w:right w:type="dxa" w:w="100"/>
            </w:tcMar>
          </w:tcPr>
          <w:p>
            <w:r>
              <w:rPr>
                <w:rFonts w:ascii="Calibri" w:cs="Calibri" w:eastAsia="Calibri" w:hAnsi="Calibri"/>
                <w:sz w:val="18"/>
                <w:szCs w:val="18"/>
              </w:rPr>
              <w:t xml:space="preserve">Choose a period you can justify. Two to three years after the relationship ends is common for a business with no other obligation.</w:t>
            </w:r>
          </w:p>
        </w:tc>
      </w:tr>
      <w:tr>
        <w:tc>
          <w:tcPr>
            <w:tcW w:type="dxa" w:w="3300"/>
            <w:tcMar>
              <w:top w:type="dxa" w:w="60"/>
              <w:left w:type="dxa" w:w="100"/>
              <w:bottom w:type="dxa" w:w="60"/>
              <w:right w:type="dxa" w:w="100"/>
            </w:tcMar>
          </w:tcPr>
          <w:p>
            <w:r>
              <w:rPr>
                <w:rFonts w:ascii="Calibri" w:cs="Calibri" w:eastAsia="Calibri" w:hAnsi="Calibri"/>
                <w:sz w:val="18"/>
                <w:szCs w:val="18"/>
              </w:rPr>
              <w:t xml:space="preserve">Quotes and proposals that did not convert</w:t>
            </w:r>
          </w:p>
        </w:tc>
        <w:tc>
          <w:tcPr>
            <w:tcW w:type="dxa" w:w="1700"/>
            <w:tcMar>
              <w:top w:type="dxa" w:w="60"/>
              <w:left w:type="dxa" w:w="100"/>
              <w:bottom w:type="dxa" w:w="60"/>
              <w:right w:type="dxa" w:w="100"/>
            </w:tcMar>
          </w:tcPr>
          <w:p>
            <w:r>
              <w:rPr>
                <w:rFonts w:ascii="Calibri" w:cs="Calibri" w:eastAsia="Calibri" w:hAnsi="Calibri"/>
                <w:sz w:val="18"/>
                <w:szCs w:val="18"/>
              </w:rPr>
              <w:t xml:space="preserve">[PERIOD]</w:t>
            </w:r>
          </w:p>
        </w:tc>
        <w:tc>
          <w:tcPr>
            <w:tcW w:type="dxa" w:w="4100"/>
            <w:tcMar>
              <w:top w:type="dxa" w:w="60"/>
              <w:left w:type="dxa" w:w="100"/>
              <w:bottom w:type="dxa" w:w="60"/>
              <w:right w:type="dxa" w:w="100"/>
            </w:tcMar>
          </w:tcPr>
          <w:p>
            <w:r>
              <w:rPr>
                <w:rFonts w:ascii="Calibri" w:cs="Calibri" w:eastAsia="Calibri" w:hAnsi="Calibri"/>
                <w:sz w:val="18"/>
                <w:szCs w:val="18"/>
              </w:rPr>
              <w:t xml:space="preserve">One to two years is usually enough.</w:t>
            </w:r>
          </w:p>
        </w:tc>
      </w:tr>
      <w:tr>
        <w:tc>
          <w:tcPr>
            <w:tcW w:type="dxa" w:w="3300"/>
            <w:shd w:fill="F2F7FA" w:color="auto" w:val="clear"/>
            <w:tcMar>
              <w:top w:type="dxa" w:w="60"/>
              <w:left w:type="dxa" w:w="100"/>
              <w:bottom w:type="dxa" w:w="60"/>
              <w:right w:type="dxa" w:w="100"/>
            </w:tcMar>
          </w:tcPr>
          <w:p>
            <w:r>
              <w:rPr>
                <w:rFonts w:ascii="Calibri" w:cs="Calibri" w:eastAsia="Calibri" w:hAnsi="Calibri"/>
                <w:sz w:val="18"/>
                <w:szCs w:val="18"/>
              </w:rPr>
              <w:t xml:space="preserve">Job applications from unsuccessful candidates</w:t>
            </w:r>
          </w:p>
        </w:tc>
        <w:tc>
          <w:tcPr>
            <w:tcW w:type="dxa" w:w="1700"/>
            <w:shd w:fill="F2F7FA" w:color="auto" w:val="clear"/>
            <w:tcMar>
              <w:top w:type="dxa" w:w="60"/>
              <w:left w:type="dxa" w:w="100"/>
              <w:bottom w:type="dxa" w:w="60"/>
              <w:right w:type="dxa" w:w="100"/>
            </w:tcMar>
          </w:tcPr>
          <w:p>
            <w:r>
              <w:rPr>
                <w:rFonts w:ascii="Calibri" w:cs="Calibri" w:eastAsia="Calibri" w:hAnsi="Calibri"/>
                <w:sz w:val="18"/>
                <w:szCs w:val="18"/>
              </w:rPr>
              <w:t xml:space="preserve">[PERIOD]</w:t>
            </w:r>
          </w:p>
        </w:tc>
        <w:tc>
          <w:tcPr>
            <w:tcW w:type="dxa" w:w="4100"/>
            <w:shd w:fill="F2F7FA" w:color="auto" w:val="clear"/>
            <w:tcMar>
              <w:top w:type="dxa" w:w="60"/>
              <w:left w:type="dxa" w:w="100"/>
              <w:bottom w:type="dxa" w:w="60"/>
              <w:right w:type="dxa" w:w="100"/>
            </w:tcMar>
          </w:tcPr>
          <w:p>
            <w:r>
              <w:rPr>
                <w:rFonts w:ascii="Calibri" w:cs="Calibri" w:eastAsia="Calibri" w:hAnsi="Calibri"/>
                <w:sz w:val="18"/>
                <w:szCs w:val="18"/>
              </w:rPr>
              <w:t xml:space="preserve">Twelve months is common. Longer only with the candidate’s consent.</w:t>
            </w:r>
          </w:p>
        </w:tc>
      </w:tr>
      <w:tr>
        <w:tc>
          <w:tcPr>
            <w:tcW w:type="dxa" w:w="3300"/>
            <w:tcMar>
              <w:top w:type="dxa" w:w="60"/>
              <w:left w:type="dxa" w:w="100"/>
              <w:bottom w:type="dxa" w:w="60"/>
              <w:right w:type="dxa" w:w="100"/>
            </w:tcMar>
          </w:tcPr>
          <w:p>
            <w:r>
              <w:rPr>
                <w:rFonts w:ascii="Calibri" w:cs="Calibri" w:eastAsia="Calibri" w:hAnsi="Calibri"/>
                <w:sz w:val="18"/>
                <w:szCs w:val="18"/>
              </w:rPr>
              <w:t xml:space="preserve">Identity documents collected for verification</w:t>
            </w:r>
          </w:p>
        </w:tc>
        <w:tc>
          <w:tcPr>
            <w:tcW w:type="dxa" w:w="1700"/>
            <w:tcMar>
              <w:top w:type="dxa" w:w="60"/>
              <w:left w:type="dxa" w:w="100"/>
              <w:bottom w:type="dxa" w:w="60"/>
              <w:right w:type="dxa" w:w="100"/>
            </w:tcMar>
          </w:tcPr>
          <w:p>
            <w:r>
              <w:rPr>
                <w:rFonts w:ascii="Calibri" w:cs="Calibri" w:eastAsia="Calibri" w:hAnsi="Calibri"/>
                <w:sz w:val="18"/>
                <w:szCs w:val="18"/>
              </w:rPr>
              <w:t xml:space="preserve">Destroy once verified, or [PERIOD] where a law requires you to keep them</w:t>
            </w:r>
          </w:p>
        </w:tc>
        <w:tc>
          <w:tcPr>
            <w:tcW w:type="dxa" w:w="4100"/>
            <w:tcMar>
              <w:top w:type="dxa" w:w="60"/>
              <w:left w:type="dxa" w:w="100"/>
              <w:bottom w:type="dxa" w:w="60"/>
              <w:right w:type="dxa" w:w="100"/>
            </w:tcMar>
          </w:tcPr>
          <w:p>
            <w:r>
              <w:rPr>
                <w:rFonts w:ascii="Calibri" w:cs="Calibri" w:eastAsia="Calibri" w:hAnsi="Calibri"/>
                <w:sz w:val="18"/>
                <w:szCs w:val="18"/>
              </w:rPr>
              <w:t xml:space="preserve">These are the highest-risk records most small businesses hold. Do not keep a licence scan in a mailbox.</w:t>
            </w:r>
          </w:p>
        </w:tc>
      </w:tr>
      <w:tr>
        <w:tc>
          <w:tcPr>
            <w:tcW w:type="dxa" w:w="3300"/>
            <w:shd w:fill="F2F7FA" w:color="auto" w:val="clear"/>
            <w:tcMar>
              <w:top w:type="dxa" w:w="60"/>
              <w:left w:type="dxa" w:w="100"/>
              <w:bottom w:type="dxa" w:w="60"/>
              <w:right w:type="dxa" w:w="100"/>
            </w:tcMar>
          </w:tcPr>
          <w:p>
            <w:r>
              <w:rPr>
                <w:rFonts w:ascii="Calibri" w:cs="Calibri" w:eastAsia="Calibri" w:hAnsi="Calibri"/>
                <w:sz w:val="18"/>
                <w:szCs w:val="18"/>
              </w:rPr>
              <w:t xml:space="preserve">Payment card details</w:t>
            </w:r>
          </w:p>
        </w:tc>
        <w:tc>
          <w:tcPr>
            <w:tcW w:type="dxa" w:w="1700"/>
            <w:shd w:fill="F2F7FA" w:color="auto" w:val="clear"/>
            <w:tcMar>
              <w:top w:type="dxa" w:w="60"/>
              <w:left w:type="dxa" w:w="100"/>
              <w:bottom w:type="dxa" w:w="60"/>
              <w:right w:type="dxa" w:w="100"/>
            </w:tcMar>
          </w:tcPr>
          <w:p>
            <w:r>
              <w:rPr>
                <w:rFonts w:ascii="Calibri" w:cs="Calibri" w:eastAsia="Calibri" w:hAnsi="Calibri"/>
                <w:sz w:val="18"/>
                <w:szCs w:val="18"/>
              </w:rPr>
              <w:t xml:space="preserve">Do not store</w:t>
            </w:r>
          </w:p>
        </w:tc>
        <w:tc>
          <w:tcPr>
            <w:tcW w:type="dxa" w:w="4100"/>
            <w:shd w:fill="F2F7FA" w:color="auto" w:val="clear"/>
            <w:tcMar>
              <w:top w:type="dxa" w:w="60"/>
              <w:left w:type="dxa" w:w="100"/>
              <w:bottom w:type="dxa" w:w="60"/>
              <w:right w:type="dxa" w:w="100"/>
            </w:tcMar>
          </w:tcPr>
          <w:p>
            <w:r>
              <w:rPr>
                <w:rFonts w:ascii="Calibri" w:cs="Calibri" w:eastAsia="Calibri" w:hAnsi="Calibri"/>
                <w:sz w:val="18"/>
                <w:szCs w:val="18"/>
              </w:rPr>
              <w:t xml:space="preserve">Use a compliant payment gateway. Storing card numbers creates obligations and risk with no benefit.</w:t>
            </w:r>
          </w:p>
        </w:tc>
      </w:tr>
      <w:tr>
        <w:tc>
          <w:tcPr>
            <w:tcW w:type="dxa" w:w="3300"/>
            <w:tcMar>
              <w:top w:type="dxa" w:w="60"/>
              <w:left w:type="dxa" w:w="100"/>
              <w:bottom w:type="dxa" w:w="60"/>
              <w:right w:type="dxa" w:w="100"/>
            </w:tcMar>
          </w:tcPr>
          <w:p>
            <w:r>
              <w:rPr>
                <w:rFonts w:ascii="Calibri" w:cs="Calibri" w:eastAsia="Calibri" w:hAnsi="Calibri"/>
                <w:sz w:val="18"/>
                <w:szCs w:val="18"/>
              </w:rPr>
              <w:t xml:space="preserve">CCTV footage</w:t>
            </w:r>
          </w:p>
        </w:tc>
        <w:tc>
          <w:tcPr>
            <w:tcW w:type="dxa" w:w="1700"/>
            <w:tcMar>
              <w:top w:type="dxa" w:w="60"/>
              <w:left w:type="dxa" w:w="100"/>
              <w:bottom w:type="dxa" w:w="60"/>
              <w:right w:type="dxa" w:w="100"/>
            </w:tcMar>
          </w:tcPr>
          <w:p>
            <w:r>
              <w:rPr>
                <w:rFonts w:ascii="Calibri" w:cs="Calibri" w:eastAsia="Calibri" w:hAnsi="Calibri"/>
                <w:sz w:val="18"/>
                <w:szCs w:val="18"/>
              </w:rPr>
              <w:t xml:space="preserve">[PERIOD]</w:t>
            </w:r>
          </w:p>
        </w:tc>
        <w:tc>
          <w:tcPr>
            <w:tcW w:type="dxa" w:w="4100"/>
            <w:tcMar>
              <w:top w:type="dxa" w:w="60"/>
              <w:left w:type="dxa" w:w="100"/>
              <w:bottom w:type="dxa" w:w="60"/>
              <w:right w:type="dxa" w:w="100"/>
            </w:tcMar>
          </w:tcPr>
          <w:p>
            <w:r>
              <w:rPr>
                <w:rFonts w:ascii="Calibri" w:cs="Calibri" w:eastAsia="Calibri" w:hAnsi="Calibri"/>
                <w:sz w:val="18"/>
                <w:szCs w:val="18"/>
              </w:rPr>
              <w:t xml:space="preserve">Thirty days is common unless an incident is under investigation.</w:t>
            </w:r>
          </w:p>
        </w:tc>
      </w:tr>
      <w:tr>
        <w:tc>
          <w:tcPr>
            <w:tcW w:type="dxa" w:w="3300"/>
            <w:shd w:fill="F2F7FA" w:color="auto" w:val="clear"/>
            <w:tcMar>
              <w:top w:type="dxa" w:w="60"/>
              <w:left w:type="dxa" w:w="100"/>
              <w:bottom w:type="dxa" w:w="60"/>
              <w:right w:type="dxa" w:w="100"/>
            </w:tcMar>
          </w:tcPr>
          <w:p>
            <w:r>
              <w:rPr>
                <w:rFonts w:ascii="Calibri" w:cs="Calibri" w:eastAsia="Calibri" w:hAnsi="Calibri"/>
                <w:sz w:val="18"/>
                <w:szCs w:val="18"/>
              </w:rPr>
              <w:t xml:space="preserve">Email</w:t>
            </w:r>
          </w:p>
        </w:tc>
        <w:tc>
          <w:tcPr>
            <w:tcW w:type="dxa" w:w="1700"/>
            <w:shd w:fill="F2F7FA" w:color="auto" w:val="clear"/>
            <w:tcMar>
              <w:top w:type="dxa" w:w="60"/>
              <w:left w:type="dxa" w:w="100"/>
              <w:bottom w:type="dxa" w:w="60"/>
              <w:right w:type="dxa" w:w="100"/>
            </w:tcMar>
          </w:tcPr>
          <w:p>
            <w:r>
              <w:rPr>
                <w:rFonts w:ascii="Calibri" w:cs="Calibri" w:eastAsia="Calibri" w:hAnsi="Calibri"/>
                <w:sz w:val="18"/>
                <w:szCs w:val="18"/>
              </w:rPr>
              <w:t xml:space="preserve">[PERIOD]</w:t>
            </w:r>
          </w:p>
        </w:tc>
        <w:tc>
          <w:tcPr>
            <w:tcW w:type="dxa" w:w="4100"/>
            <w:shd w:fill="F2F7FA" w:color="auto" w:val="clear"/>
            <w:tcMar>
              <w:top w:type="dxa" w:w="60"/>
              <w:left w:type="dxa" w:w="100"/>
              <w:bottom w:type="dxa" w:w="60"/>
              <w:right w:type="dxa" w:w="100"/>
            </w:tcMar>
          </w:tcPr>
          <w:p>
            <w:r>
              <w:rPr>
                <w:rFonts w:ascii="Calibri" w:cs="Calibri" w:eastAsia="Calibri" w:hAnsi="Calibri"/>
                <w:sz w:val="18"/>
                <w:szCs w:val="18"/>
              </w:rPr>
              <w:t xml:space="preserve">Set a mailbox retention period rather than leaving mail indefinitely. Note that email often contains records covered by other rows.</w:t>
            </w:r>
          </w:p>
        </w:tc>
      </w:tr>
      <w:tr>
        <w:tc>
          <w:tcPr>
            <w:tcW w:type="dxa" w:w="3300"/>
            <w:tcMar>
              <w:top w:type="dxa" w:w="60"/>
              <w:left w:type="dxa" w:w="100"/>
              <w:bottom w:type="dxa" w:w="60"/>
              <w:right w:type="dxa" w:w="100"/>
            </w:tcMar>
          </w:tcPr>
          <w:p>
            <w:r>
              <w:rPr>
                <w:rFonts w:ascii="Calibri" w:cs="Calibri" w:eastAsia="Calibri" w:hAnsi="Calibri"/>
                <w:sz w:val="18"/>
                <w:szCs w:val="18"/>
              </w:rPr>
              <w:t xml:space="preserve">Backups</w:t>
            </w:r>
          </w:p>
        </w:tc>
        <w:tc>
          <w:tcPr>
            <w:tcW w:type="dxa" w:w="1700"/>
            <w:tcMar>
              <w:top w:type="dxa" w:w="60"/>
              <w:left w:type="dxa" w:w="100"/>
              <w:bottom w:type="dxa" w:w="60"/>
              <w:right w:type="dxa" w:w="100"/>
            </w:tcMar>
          </w:tcPr>
          <w:p>
            <w:r>
              <w:rPr>
                <w:rFonts w:ascii="Calibri" w:cs="Calibri" w:eastAsia="Calibri" w:hAnsi="Calibri"/>
                <w:sz w:val="18"/>
                <w:szCs w:val="18"/>
              </w:rPr>
              <w:t xml:space="preserve">[PERIOD]</w:t>
            </w:r>
          </w:p>
        </w:tc>
        <w:tc>
          <w:tcPr>
            <w:tcW w:type="dxa" w:w="4100"/>
            <w:tcMar>
              <w:top w:type="dxa" w:w="60"/>
              <w:left w:type="dxa" w:w="100"/>
              <w:bottom w:type="dxa" w:w="60"/>
              <w:right w:type="dxa" w:w="100"/>
            </w:tcMar>
          </w:tcPr>
          <w:p>
            <w:r>
              <w:rPr>
                <w:rFonts w:ascii="Calibri" w:cs="Calibri" w:eastAsia="Calibri" w:hAnsi="Calibri"/>
                <w:sz w:val="18"/>
                <w:szCs w:val="18"/>
              </w:rPr>
              <w:t xml:space="preserve">Backups age out on their own cycle. Record the cycle here so it is deliberate.</w:t>
            </w:r>
          </w:p>
        </w:tc>
      </w:tr>
      <w:tr>
        <w:tc>
          <w:tcPr>
            <w:tcW w:type="dxa" w:w="3300"/>
            <w:shd w:fill="F2F7FA" w:color="auto" w:val="clear"/>
            <w:tcMar>
              <w:top w:type="dxa" w:w="60"/>
              <w:left w:type="dxa" w:w="100"/>
              <w:bottom w:type="dxa" w:w="60"/>
              <w:right w:type="dxa" w:w="100"/>
            </w:tcMar>
          </w:tcPr>
          <w:p>
            <w:r>
              <w:rPr>
                <w:rFonts w:ascii="Calibri" w:cs="Calibri" w:eastAsia="Calibri" w:hAnsi="Calibri"/>
                <w:sz w:val="18"/>
                <w:szCs w:val="18"/>
              </w:rPr>
              <w:t xml:space="preserve">[YOUR INDUSTRY RECORD TYPE]</w:t>
            </w:r>
          </w:p>
        </w:tc>
        <w:tc>
          <w:tcPr>
            <w:tcW w:type="dxa" w:w="1700"/>
            <w:shd w:fill="F2F7FA" w:color="auto" w:val="clear"/>
            <w:tcMar>
              <w:top w:type="dxa" w:w="60"/>
              <w:left w:type="dxa" w:w="100"/>
              <w:bottom w:type="dxa" w:w="60"/>
              <w:right w:type="dxa" w:w="100"/>
            </w:tcMar>
          </w:tcPr>
          <w:p>
            <w:r>
              <w:rPr>
                <w:rFonts w:ascii="Calibri" w:cs="Calibri" w:eastAsia="Calibri" w:hAnsi="Calibri"/>
                <w:sz w:val="18"/>
                <w:szCs w:val="18"/>
              </w:rPr>
              <w:t xml:space="preserve">[PERIOD]</w:t>
            </w:r>
          </w:p>
        </w:tc>
        <w:tc>
          <w:tcPr>
            <w:tcW w:type="dxa" w:w="4100"/>
            <w:shd w:fill="F2F7FA" w:color="auto" w:val="clear"/>
            <w:tcMar>
              <w:top w:type="dxa" w:w="60"/>
              <w:left w:type="dxa" w:w="100"/>
              <w:bottom w:type="dxa" w:w="60"/>
              <w:right w:type="dxa" w:w="100"/>
            </w:tcMar>
          </w:tcPr>
          <w:p>
            <w:r>
              <w:rPr>
                <w:rFonts w:ascii="Calibri" w:cs="Calibri" w:eastAsia="Calibri" w:hAnsi="Calibri"/>
                <w:sz w:val="18"/>
                <w:szCs w:val="18"/>
              </w:rPr>
              <w:t xml:space="preserve">[YOUR REASON]</w:t>
            </w:r>
          </w:p>
        </w:tc>
      </w:tr>
    </w:tbl>
    <w:p>
      <w:pPr>
        <w:spacing w:after="120"/>
      </w:pPr>
      <w:r>
        <w:rPr>
          <w:rFonts w:ascii="Calibri" w:cs="Calibri" w:eastAsia="Calibri" w:hAnsi="Calibri"/>
          <w:b w:val="false"/>
          <w:bCs w:val="false"/>
          <w:i w:val="false"/>
          <w:iCs w:val="false"/>
          <w:color w:val="000000"/>
          <w:sz w:val="21"/>
          <w:szCs w:val="21"/>
        </w:rPr>
        <w:t xml:space="preserve"/>
      </w:r>
    </w:p>
    <w:p>
      <w:pPr>
        <w:spacing w:after="120"/>
      </w:pPr>
      <w:r>
        <w:rPr>
          <w:rFonts w:ascii="Calibri" w:cs="Calibri" w:eastAsia="Calibri" w:hAnsi="Calibri"/>
          <w:b w:val="false"/>
          <w:bCs w:val="false"/>
          <w:i/>
          <w:iCs/>
          <w:color w:val="595959"/>
          <w:sz w:val="21"/>
          <w:szCs w:val="21"/>
        </w:rPr>
        <w:t xml:space="preserve">Note on backups: a record you have destroyed from live systems may still exist in a backup until that backup expires. That is normal and acceptable, provided your backup retention is defined and finite, and provided you do not restore destroyed records back into use.</w:t>
      </w:r>
    </w:p>
    <w:p>
      <w:pPr>
        <w:pStyle w:val="Heading2"/>
        <w:spacing w:after="100" w:before="220"/>
      </w:pPr>
      <w:r>
        <w:rPr>
          <w:rFonts w:ascii="Calibri" w:cs="Calibri" w:eastAsia="Calibri" w:hAnsi="Calibri"/>
          <w:b/>
          <w:bCs/>
          <w:color w:val="95C840"/>
          <w:sz w:val="24"/>
          <w:szCs w:val="24"/>
        </w:rPr>
        <w:t xml:space="preserve">How we destroy records</w:t>
      </w:r>
    </w:p>
    <w:p>
      <w:pPr>
        <w:pStyle w:val="ListParagraph"/>
        <w:numPr>
          <w:ilvl w:val="0"/>
          <w:numId w:val="2"/>
        </w:numPr>
        <w:spacing w:after="70"/>
      </w:pPr>
      <w:r>
        <w:rPr>
          <w:rFonts w:ascii="Calibri" w:cs="Calibri" w:eastAsia="Calibri" w:hAnsi="Calibri"/>
          <w:sz w:val="21"/>
          <w:szCs w:val="21"/>
        </w:rPr>
        <w:t xml:space="preserve">Electronic records: delete from the live system, then empty the recycle bin or deleted items, then allow the backup cycle to expire. For whole devices or drives, wipe using a secure erase or destroy the drive physically.</w:t>
      </w:r>
    </w:p>
    <w:p>
      <w:pPr>
        <w:pStyle w:val="ListParagraph"/>
        <w:numPr>
          <w:ilvl w:val="0"/>
          <w:numId w:val="2"/>
        </w:numPr>
        <w:spacing w:after="70"/>
      </w:pPr>
      <w:r>
        <w:rPr>
          <w:rFonts w:ascii="Calibri" w:cs="Calibri" w:eastAsia="Calibri" w:hAnsi="Calibri"/>
          <w:sz w:val="21"/>
          <w:szCs w:val="21"/>
        </w:rPr>
        <w:t xml:space="preserve">Cloud services: use the service’s permanent delete or purge function, not just the visible delete, and check whether the service retains a copy and for how long.</w:t>
      </w:r>
    </w:p>
    <w:p>
      <w:pPr>
        <w:pStyle w:val="ListParagraph"/>
        <w:numPr>
          <w:ilvl w:val="0"/>
          <w:numId w:val="2"/>
        </w:numPr>
        <w:spacing w:after="70"/>
      </w:pPr>
      <w:r>
        <w:rPr>
          <w:rFonts w:ascii="Calibri" w:cs="Calibri" w:eastAsia="Calibri" w:hAnsi="Calibri"/>
          <w:sz w:val="21"/>
          <w:szCs w:val="21"/>
        </w:rPr>
        <w:t xml:space="preserve">Paper records: cross-cut shred, or use a secure destruction service that provides a certificate of destruction.</w:t>
      </w:r>
    </w:p>
    <w:p>
      <w:pPr>
        <w:pStyle w:val="ListParagraph"/>
        <w:numPr>
          <w:ilvl w:val="0"/>
          <w:numId w:val="2"/>
        </w:numPr>
        <w:spacing w:after="70"/>
      </w:pPr>
      <w:r>
        <w:rPr>
          <w:rFonts w:ascii="Calibri" w:cs="Calibri" w:eastAsia="Calibri" w:hAnsi="Calibri"/>
          <w:sz w:val="21"/>
          <w:szCs w:val="21"/>
        </w:rPr>
        <w:t xml:space="preserve">Devices at end of life: remove or destroy the storage before disposal, sale or return to a lease provider. A factory reset is not always enough on older devices.</w:t>
      </w:r>
    </w:p>
    <w:p>
      <w:pPr>
        <w:pStyle w:val="Heading2"/>
        <w:spacing w:after="100" w:before="220"/>
      </w:pPr>
      <w:r>
        <w:rPr>
          <w:rFonts w:ascii="Calibri" w:cs="Calibri" w:eastAsia="Calibri" w:hAnsi="Calibri"/>
          <w:b/>
          <w:bCs/>
          <w:color w:val="95C840"/>
          <w:sz w:val="24"/>
          <w:szCs w:val="24"/>
        </w:rPr>
        <w:t xml:space="preserve">Legal holds</w:t>
      </w:r>
    </w:p>
    <w:p>
      <w:pPr>
        <w:spacing w:after="120"/>
      </w:pPr>
      <w:r>
        <w:rPr>
          <w:rFonts w:ascii="Calibri" w:cs="Calibri" w:eastAsia="Calibri" w:hAnsi="Calibri"/>
          <w:b w:val="false"/>
          <w:bCs w:val="false"/>
          <w:i w:val="false"/>
          <w:iCs w:val="false"/>
          <w:color w:val="000000"/>
          <w:sz w:val="21"/>
          <w:szCs w:val="21"/>
        </w:rPr>
        <w:t xml:space="preserve">If we become aware of an actual or likely legal claim, investigation, audit, regulatory request or subpoena, all destruction of records that might be relevant stops immediately, even if the retention period has expired. [APPROVER NAME AND TITLE] is responsible for issuing and lifting a legal hold, and for telling everyone affected in writing. Destroying records after a hold is in place is a serious matter.</w:t>
      </w:r>
    </w:p>
    <w:p>
      <w:pPr>
        <w:pStyle w:val="Heading2"/>
        <w:spacing w:after="100" w:before="220"/>
      </w:pPr>
      <w:r>
        <w:rPr>
          <w:rFonts w:ascii="Calibri" w:cs="Calibri" w:eastAsia="Calibri" w:hAnsi="Calibri"/>
          <w:b/>
          <w:bCs/>
          <w:color w:val="95C840"/>
          <w:sz w:val="24"/>
          <w:szCs w:val="24"/>
        </w:rPr>
        <w:t xml:space="preserve">Responsibilities</w:t>
      </w:r>
    </w:p>
    <w:p>
      <w:pPr>
        <w:pStyle w:val="ListParagraph"/>
        <w:numPr>
          <w:ilvl w:val="0"/>
          <w:numId w:val="2"/>
        </w:numPr>
        <w:spacing w:after="70"/>
      </w:pPr>
      <w:r>
        <w:rPr>
          <w:rFonts w:ascii="Calibri" w:cs="Calibri" w:eastAsia="Calibri" w:hAnsi="Calibri"/>
          <w:sz w:val="21"/>
          <w:szCs w:val="21"/>
        </w:rPr>
        <w:t xml:space="preserve">[APPROVER NAME AND TITLE] owns this policy, approves the retention schedule and issues legal holds.</w:t>
      </w:r>
    </w:p>
    <w:p>
      <w:pPr>
        <w:pStyle w:val="ListParagraph"/>
        <w:numPr>
          <w:ilvl w:val="0"/>
          <w:numId w:val="2"/>
        </w:numPr>
        <w:spacing w:after="70"/>
      </w:pPr>
      <w:r>
        <w:rPr>
          <w:rFonts w:ascii="Calibri" w:cs="Calibri" w:eastAsia="Calibri" w:hAnsi="Calibri"/>
          <w:sz w:val="21"/>
          <w:szCs w:val="21"/>
        </w:rPr>
        <w:t xml:space="preserve">[RESPONSIBLE PERSON OR ROLE] runs the annual destruction review and keeps the destruction register.</w:t>
      </w:r>
    </w:p>
    <w:p>
      <w:pPr>
        <w:pStyle w:val="ListParagraph"/>
        <w:numPr>
          <w:ilvl w:val="0"/>
          <w:numId w:val="2"/>
        </w:numPr>
        <w:spacing w:after="70"/>
      </w:pPr>
      <w:r>
        <w:rPr>
          <w:rFonts w:ascii="Calibri" w:cs="Calibri" w:eastAsia="Calibri" w:hAnsi="Calibri"/>
          <w:sz w:val="21"/>
          <w:szCs w:val="21"/>
        </w:rPr>
        <w:t xml:space="preserve">All staff apply the schedule to records they create and hold, and do not keep private copies of business records.</w:t>
      </w:r>
    </w:p>
    <w:p>
      <w:pPr>
        <w:pStyle w:val="ListParagraph"/>
        <w:numPr>
          <w:ilvl w:val="0"/>
          <w:numId w:val="2"/>
        </w:numPr>
        <w:spacing w:after="70"/>
      </w:pPr>
      <w:r>
        <w:rPr>
          <w:rFonts w:ascii="Calibri" w:cs="Calibri" w:eastAsia="Calibri" w:hAnsi="Calibri"/>
          <w:sz w:val="21"/>
          <w:szCs w:val="21"/>
        </w:rPr>
        <w:t xml:space="preserve">Our IT provider configures retention settings where the systems support them, so the policy is enforced by the platform rather than by memory.</w:t>
      </w:r>
    </w:p>
    <w:p>
      <w:pPr>
        <w:pStyle w:val="Heading2"/>
        <w:spacing w:after="100" w:before="220"/>
      </w:pPr>
      <w:r>
        <w:rPr>
          <w:rFonts w:ascii="Calibri" w:cs="Calibri" w:eastAsia="Calibri" w:hAnsi="Calibri"/>
          <w:b/>
          <w:bCs/>
          <w:color w:val="95C840"/>
          <w:sz w:val="24"/>
          <w:szCs w:val="24"/>
        </w:rPr>
        <w:t xml:space="preserve">Annual destruction review</w:t>
      </w:r>
    </w:p>
    <w:p>
      <w:pPr>
        <w:spacing w:after="120"/>
      </w:pPr>
      <w:r>
        <w:rPr>
          <w:rFonts w:ascii="Calibri" w:cs="Calibri" w:eastAsia="Calibri" w:hAnsi="Calibri"/>
          <w:b w:val="false"/>
          <w:bCs w:val="false"/>
          <w:i w:val="false"/>
          <w:iCs w:val="false"/>
          <w:color w:val="000000"/>
          <w:sz w:val="21"/>
          <w:szCs w:val="21"/>
        </w:rPr>
        <w:t xml:space="preserve">Once a year, in [MONTH], we review records that have reached the end of their retention period, confirm no legal hold applies, destroy them, and record what was destroyed in the destruction register. The register records what was destroyed, the date range it covered, the method used, who authorised it and who carried it out.</w:t>
      </w:r>
    </w:p>
    <w:p>
      <w:pPr>
        <w:pStyle w:val="Heading2"/>
        <w:spacing w:after="100" w:before="220"/>
      </w:pPr>
      <w:r>
        <w:rPr>
          <w:rFonts w:ascii="Calibri" w:cs="Calibri" w:eastAsia="Calibri" w:hAnsi="Calibri"/>
          <w:b/>
          <w:bCs/>
          <w:color w:val="95C840"/>
          <w:sz w:val="24"/>
          <w:szCs w:val="24"/>
        </w:rPr>
        <w:t xml:space="preserve">Breaches of this policy</w:t>
      </w:r>
    </w:p>
    <w:p>
      <w:pPr>
        <w:spacing w:after="120"/>
      </w:pPr>
      <w:r>
        <w:rPr>
          <w:rFonts w:ascii="Calibri" w:cs="Calibri" w:eastAsia="Calibri" w:hAnsi="Calibri"/>
          <w:b w:val="false"/>
          <w:bCs w:val="false"/>
          <w:i w:val="false"/>
          <w:iCs w:val="false"/>
          <w:color w:val="000000"/>
          <w:sz w:val="21"/>
          <w:szCs w:val="21"/>
        </w:rPr>
        <w:t xml:space="preserve">Tell [APPROVER NAME AND TITLE] if you become aware that records have been kept beyond their period, destroyed early, or destroyed while a hold applied. Deliberate breaches may be treated as a disciplinary matter.</w:t>
      </w:r>
    </w:p>
    <w:sectPr>
      <w:footerReference w:type="default" r:id="rId7"/>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5"/>
        <w:szCs w:val="15"/>
      </w:rPr>
      <w:t xml:space="preserve">Template provided free by 4iT Support Pty Ltd  |  https://4it.com.au  |  1800 367 448  |  Page </w:t>
    </w:r>
    <w:r>
      <w:rPr>
        <w:rFonts w:ascii="Calibri" w:cs="Calibri" w:eastAsia="Calibri" w:hAnsi="Calibri"/>
        <w:color w:val="595959"/>
        <w:sz w:val="15"/>
        <w:szCs w:val="15"/>
      </w:rPr>
      <w:fldChar w:fldCharType="begin"/>
      <w:instrText xml:space="preserve">PAGE</w:instrText>
      <w:fldChar w:fldCharType="separate"/>
      <w:fldChar w:fldCharType="end"/>
    </w:r>
    <w:r>
      <w:rPr>
        <w:rFonts w:ascii="Calibri" w:cs="Calibri" w:eastAsia="Calibri" w:hAnsi="Calibri"/>
        <w:color w:val="595959"/>
        <w:sz w:val="15"/>
        <w:szCs w:val="15"/>
      </w:rPr>
      <w:t xml:space="preserve"> of </w:t>
    </w:r>
    <w:r>
      <w:rPr>
        <w:rFonts w:ascii="Calibri" w:cs="Calibri" w:eastAsia="Calibri" w:hAnsi="Calibri"/>
        <w:color w:val="59595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lvl w:ilvl="1" w15:tentative="1">
      <w:start w:val="1"/>
      <w:numFmt w:val="bullet"/>
      <w:lvlText w:val="◦"/>
      <w:lvlJc w:val="left"/>
      <w:pPr>
        <w:ind w:left="863"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2026-09-10T08:55:33.483Z</dcterms:created>
  <dcterms:modified xsi:type="dcterms:W3CDTF">2026-09-10T08:55:33.483Z</dcterms:modified>
</cp:coreProperties>
</file>

<file path=docProps/custom.xml><?xml version="1.0" encoding="utf-8"?>
<Properties xmlns="http://schemas.openxmlformats.org/officeDocument/2006/custom-properties" xmlns:vt="http://schemas.openxmlformats.org/officeDocument/2006/docPropsVTypes"/>
</file>